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8" w:rsidRDefault="00FA2331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Indicators </w:t>
      </w:r>
      <w:r w:rsidR="00164A18">
        <w:rPr>
          <w:rFonts w:ascii="Arial" w:hAnsi="Arial" w:cs="Arial"/>
          <w:b/>
          <w:color w:val="404040" w:themeColor="text1" w:themeTint="BF"/>
          <w:sz w:val="24"/>
          <w:szCs w:val="24"/>
        </w:rPr>
        <w:t>of Violence, Abuse, Neglect, Exploitation and D</w:t>
      </w:r>
      <w:bookmarkStart w:id="0" w:name="_GoBack"/>
      <w:bookmarkEnd w:id="0"/>
      <w:r w:rsidR="007E409F" w:rsidRPr="007E409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iscrimination </w:t>
      </w:r>
      <w:r w:rsidR="009D3D5C">
        <w:rPr>
          <w:rFonts w:ascii="Arial" w:hAnsi="Arial" w:cs="Arial"/>
          <w:b/>
          <w:color w:val="404040" w:themeColor="text1" w:themeTint="BF"/>
          <w:sz w:val="24"/>
          <w:szCs w:val="24"/>
        </w:rPr>
        <w:t>(</w:t>
      </w:r>
      <w:r w:rsidR="007E409F">
        <w:rPr>
          <w:rFonts w:ascii="Arial" w:hAnsi="Arial" w:cs="Arial"/>
          <w:b/>
          <w:color w:val="404040" w:themeColor="text1" w:themeTint="BF"/>
          <w:sz w:val="24"/>
          <w:szCs w:val="24"/>
        </w:rPr>
        <w:t>References NDIS Standard 1</w:t>
      </w:r>
      <w:r w:rsidR="009D3D5C">
        <w:rPr>
          <w:rFonts w:ascii="Arial" w:hAnsi="Arial" w:cs="Arial"/>
          <w:b/>
          <w:color w:val="404040" w:themeColor="text1" w:themeTint="BF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  <w:tblCaption w:val="Table 4: Indicators of incidents"/>
        <w:tblDescription w:val="Table 4 outlines potential indicators of incidents. There are two columns. The first column contains a list of incident types, and the second column describes behavioural indicators and physical signs associated with each incident type."/>
      </w:tblPr>
      <w:tblGrid>
        <w:gridCol w:w="1980"/>
        <w:gridCol w:w="7036"/>
      </w:tblGrid>
      <w:tr w:rsidR="00AD5D44" w:rsidRPr="009F74A5" w:rsidTr="00185539">
        <w:trPr>
          <w:tblHeader/>
        </w:trPr>
        <w:tc>
          <w:tcPr>
            <w:tcW w:w="1980" w:type="dxa"/>
            <w:tcBorders>
              <w:bottom w:val="single" w:sz="4" w:space="0" w:color="4F81BD" w:themeColor="accent1"/>
            </w:tcBorders>
            <w:shd w:val="clear" w:color="auto" w:fill="4F81BD" w:themeFill="accent1"/>
            <w:hideMark/>
          </w:tcPr>
          <w:p w:rsidR="00AD5D44" w:rsidRPr="009F74A5" w:rsidRDefault="00AD5D44" w:rsidP="00185539">
            <w:pPr>
              <w:pStyle w:val="TableHeading"/>
            </w:pPr>
            <w:r w:rsidRPr="009F74A5">
              <w:t>Incident types</w:t>
            </w:r>
          </w:p>
        </w:tc>
        <w:tc>
          <w:tcPr>
            <w:tcW w:w="7036" w:type="dxa"/>
            <w:tcBorders>
              <w:bottom w:val="single" w:sz="4" w:space="0" w:color="4F81BD" w:themeColor="accent1"/>
            </w:tcBorders>
            <w:shd w:val="clear" w:color="auto" w:fill="4F81BD" w:themeFill="accent1"/>
            <w:hideMark/>
          </w:tcPr>
          <w:p w:rsidR="00AD5D44" w:rsidRPr="009F74A5" w:rsidRDefault="00AD5D44" w:rsidP="00185539">
            <w:pPr>
              <w:pStyle w:val="TableHeading"/>
            </w:pPr>
            <w:r w:rsidRPr="009F74A5">
              <w:t>Behavioural indicators and physical signs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4F81BD" w:themeColor="accent1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t>Physical abuse, unlawful physical contact or physical assault</w:t>
            </w:r>
          </w:p>
        </w:tc>
        <w:tc>
          <w:tcPr>
            <w:tcW w:w="7036" w:type="dxa"/>
            <w:tcBorders>
              <w:top w:val="single" w:sz="4" w:space="0" w:color="4F81BD" w:themeColor="accent1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</w:pPr>
            <w:r w:rsidRPr="009F74A5">
              <w:t>Inconsistent, vague, unexpected or unlikely explanation for the injury.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Unexplained injuries – broken bones, fractures, sprains, bruises, burns, scalds, bite marks, scratches or welts.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Other bruising and marks that may suggest the shape of the object that caused it.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Avoiding or being fearful of a particular person or worker.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Being overly compliant with workers.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Frequent and overall drowsiness (associated with head injuries).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Out of character aggression.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t xml:space="preserve">Sexual contact, sexual assault or sexual misconduct </w:t>
            </w:r>
          </w:p>
        </w:tc>
        <w:tc>
          <w:tcPr>
            <w:tcW w:w="7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</w:pPr>
            <w:r w:rsidRPr="009F74A5">
              <w:t>Dropping hints that appear to be about abuse.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Bruises, pain, bleeding – including redness and swelling around breasts and genitals.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Torn, stained, or bloody underwear or bedding.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Repeating a word or sign, such as ‘bad’, ’dirty’.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Presence of a sexually transmitted disease.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Pregnancy.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Sudden changes in behaviour or character, e.g.: depression, anxiety attacks (crying, sweating, trembling, withdrawal, agitations, anger, violence, absconding, sexually expressive behaviour, seeking comfort and security).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Sleep disturbances, refusing to go to bed, and/or going to bed fully clothed.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Refusing to shower.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t>Psychological, emotional or verbal abuse</w:t>
            </w:r>
          </w:p>
        </w:tc>
        <w:tc>
          <w:tcPr>
            <w:tcW w:w="7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</w:pPr>
            <w:r w:rsidRPr="009F74A5">
              <w:t>Depression, withdrawal, crying or emotional behaviour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 xml:space="preserve">Being secretive, and trying to hide information and personal belongings. 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Speech disorders.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Weight gain or loss.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Feelings of worthlessness about life and themselves; extremely low self-esteem, self-abuse, or self-destructive behaviour.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Extreme attention-seeking behaviour and other behavioural disorders (e.g.: disruptiveness, aggressiveness, bullying).</w:t>
            </w:r>
          </w:p>
          <w:p w:rsidR="00AD5D44" w:rsidRPr="009F74A5" w:rsidRDefault="00AD5D44" w:rsidP="00185539">
            <w:pPr>
              <w:pStyle w:val="TableBullet1"/>
            </w:pPr>
            <w:r>
              <w:t>Being overly compliant</w:t>
            </w:r>
            <w:r w:rsidRPr="009F74A5">
              <w:t>.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t>Domestic violence</w:t>
            </w:r>
          </w:p>
        </w:tc>
        <w:tc>
          <w:tcPr>
            <w:tcW w:w="7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</w:pPr>
            <w:r w:rsidRPr="009F74A5">
              <w:t xml:space="preserve">Depression, withdrawal, crying or violence. 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Feelings of worthlessness about life and themselves; extremely low self-esteem, self-abuse, or self-destructive behaviour.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Extreme attention-seeking behaviour and other behavioural disorders (e.g.: disruptiveness, aggressiveness, bullying).</w:t>
            </w:r>
          </w:p>
          <w:p w:rsidR="00AD5D44" w:rsidRPr="009F74A5" w:rsidRDefault="00AD5D44" w:rsidP="00185539">
            <w:pPr>
              <w:pStyle w:val="TableBullet1"/>
            </w:pPr>
            <w:r>
              <w:t>Being overly compliant</w:t>
            </w:r>
            <w:r w:rsidRPr="009F74A5">
              <w:t>.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t xml:space="preserve">Neglect </w:t>
            </w:r>
          </w:p>
        </w:tc>
        <w:tc>
          <w:tcPr>
            <w:tcW w:w="7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</w:pPr>
            <w:r w:rsidRPr="009F74A5">
              <w:t>Inappropriate or inadequate shelter or accommodation, including unclean and unsanitary living conditions.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Weight loss.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Requesting, begging, scavenging, or stealing food.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Being very hungry or thirsty.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lastRenderedPageBreak/>
              <w:t>Inadequate supply of fresh food.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Constant fatigue, listlessness or falling asleep.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Dropping hints that appear to be about neglect.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Extreme longing for company.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Poor hygiene or poor grooming – overgrown fingernails and toenails, unclean hair, unshaven, unbathed, wearing dirty or damaged clothing.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Inappropriate or inadequate clothing for the weather.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Unattended physical problems, dental, and/or medical needs.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Social isolation.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Loss of social and communication skills.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Removal of means of communication.</w:t>
            </w:r>
          </w:p>
          <w:p w:rsidR="00AD5D44" w:rsidRPr="009F74A5" w:rsidRDefault="00AD5D44" w:rsidP="00185539">
            <w:pPr>
              <w:pStyle w:val="TableBullet1"/>
            </w:pPr>
            <w:r w:rsidRPr="009F74A5">
              <w:t>Displaying inappropriate or excessive self-comforting behaviours.</w:t>
            </w:r>
          </w:p>
        </w:tc>
      </w:tr>
      <w:tr w:rsidR="00AD5D44" w:rsidRPr="009F74A5" w:rsidTr="00185539"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AD5D44" w:rsidRPr="0060092A" w:rsidRDefault="00AD5D44" w:rsidP="00185539">
            <w:pPr>
              <w:pStyle w:val="TableText"/>
              <w:keepNext/>
              <w:rPr>
                <w:b/>
                <w:color w:val="4F81BD" w:themeColor="accent1"/>
              </w:rPr>
            </w:pPr>
            <w:r w:rsidRPr="0060092A">
              <w:rPr>
                <w:b/>
                <w:color w:val="4F81BD" w:themeColor="accent1"/>
              </w:rPr>
              <w:lastRenderedPageBreak/>
              <w:t>Financial abuse</w:t>
            </w:r>
          </w:p>
        </w:tc>
        <w:tc>
          <w:tcPr>
            <w:tcW w:w="70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:rsidR="00AD5D44" w:rsidRPr="009F74A5" w:rsidRDefault="00AD5D44" w:rsidP="00185539">
            <w:pPr>
              <w:pStyle w:val="TableBullet1"/>
              <w:keepNext/>
            </w:pPr>
            <w:r w:rsidRPr="009F74A5">
              <w:t>Sudden decrease in bank balances.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No financial records or incomplete records of payments and purchases.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Person controlling the finances does not have legal authority.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Sudden changes in banking practices.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Sudden changes in wills or other financial documents.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Unexplained disappearance of money or valuables.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Person does not have enough money to meet their budget.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Person is denied outings and activities due to lack of funds.</w:t>
            </w:r>
          </w:p>
          <w:p w:rsidR="00AD5D44" w:rsidRPr="009F74A5" w:rsidRDefault="00AD5D44" w:rsidP="00185539">
            <w:pPr>
              <w:pStyle w:val="TableBullet1"/>
              <w:keepNext/>
            </w:pPr>
            <w:r w:rsidRPr="009F74A5">
              <w:t>Borrowing, begging, stealing money or food.</w:t>
            </w:r>
          </w:p>
        </w:tc>
      </w:tr>
    </w:tbl>
    <w:p w:rsidR="00AD5D44" w:rsidRDefault="00AD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NDIS Commission </w:t>
      </w:r>
    </w:p>
    <w:sectPr w:rsidR="00AD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423B"/>
    <w:multiLevelType w:val="multilevel"/>
    <w:tmpl w:val="4A7CCC2C"/>
    <w:numStyleLink w:val="DefaultBullets"/>
  </w:abstractNum>
  <w:abstractNum w:abstractNumId="1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Bullet1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A"/>
    <w:rsid w:val="00164A18"/>
    <w:rsid w:val="007E409F"/>
    <w:rsid w:val="009D3D5C"/>
    <w:rsid w:val="00AD5D44"/>
    <w:rsid w:val="00DD024A"/>
    <w:rsid w:val="00F42178"/>
    <w:rsid w:val="00F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44"/>
    <w:pPr>
      <w:suppressAutoHyphens/>
      <w:spacing w:before="200" w:line="280" w:lineRule="atLeast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2"/>
    <w:qFormat/>
    <w:rsid w:val="00AD5D44"/>
    <w:pPr>
      <w:numPr>
        <w:numId w:val="2"/>
      </w:numPr>
      <w:spacing w:before="120" w:after="120" w:line="240" w:lineRule="auto"/>
      <w:ind w:left="284" w:hanging="284"/>
    </w:pPr>
  </w:style>
  <w:style w:type="paragraph" w:customStyle="1" w:styleId="Bullet2">
    <w:name w:val="Bullet 2"/>
    <w:basedOn w:val="Normal"/>
    <w:uiPriority w:val="5"/>
    <w:unhideWhenUsed/>
    <w:rsid w:val="00AD5D44"/>
    <w:pPr>
      <w:numPr>
        <w:ilvl w:val="1"/>
        <w:numId w:val="2"/>
      </w:numPr>
      <w:spacing w:before="60" w:after="60" w:line="240" w:lineRule="auto"/>
    </w:pPr>
  </w:style>
  <w:style w:type="paragraph" w:customStyle="1" w:styleId="Bullet3">
    <w:name w:val="Bullet 3"/>
    <w:basedOn w:val="Normal"/>
    <w:uiPriority w:val="5"/>
    <w:unhideWhenUsed/>
    <w:rsid w:val="00AD5D44"/>
    <w:pPr>
      <w:numPr>
        <w:ilvl w:val="2"/>
        <w:numId w:val="2"/>
      </w:numPr>
    </w:pPr>
  </w:style>
  <w:style w:type="table" w:styleId="TableGrid">
    <w:name w:val="Table Grid"/>
    <w:basedOn w:val="TableNormal"/>
    <w:uiPriority w:val="39"/>
    <w:rsid w:val="00AD5D44"/>
    <w:pPr>
      <w:spacing w:before="120" w:after="0" w:line="240" w:lineRule="auto"/>
    </w:pPr>
    <w:rPr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efaultBullets">
    <w:name w:val="Default Bullets"/>
    <w:uiPriority w:val="99"/>
    <w:rsid w:val="00AD5D44"/>
    <w:pPr>
      <w:numPr>
        <w:numId w:val="1"/>
      </w:numPr>
    </w:pPr>
  </w:style>
  <w:style w:type="paragraph" w:customStyle="1" w:styleId="TableText">
    <w:name w:val="Table Text"/>
    <w:basedOn w:val="Normal"/>
    <w:qFormat/>
    <w:rsid w:val="00AD5D44"/>
    <w:pPr>
      <w:suppressAutoHyphens w:val="0"/>
      <w:spacing w:before="60" w:after="60" w:line="240" w:lineRule="auto"/>
    </w:pPr>
  </w:style>
  <w:style w:type="paragraph" w:customStyle="1" w:styleId="TableHeading">
    <w:name w:val="Table Heading"/>
    <w:basedOn w:val="TableText"/>
    <w:qFormat/>
    <w:rsid w:val="00AD5D44"/>
    <w:rPr>
      <w:b/>
      <w:color w:val="FFFFFF" w:themeColor="background1"/>
    </w:rPr>
  </w:style>
  <w:style w:type="paragraph" w:customStyle="1" w:styleId="TableBullet1">
    <w:name w:val="Table Bullet 1"/>
    <w:basedOn w:val="Bullet1"/>
    <w:qFormat/>
    <w:rsid w:val="00AD5D44"/>
    <w:pPr>
      <w:spacing w:before="60"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44"/>
    <w:pPr>
      <w:suppressAutoHyphens/>
      <w:spacing w:before="200" w:line="280" w:lineRule="atLeast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2"/>
    <w:qFormat/>
    <w:rsid w:val="00AD5D44"/>
    <w:pPr>
      <w:numPr>
        <w:numId w:val="2"/>
      </w:numPr>
      <w:spacing w:before="120" w:after="120" w:line="240" w:lineRule="auto"/>
      <w:ind w:left="284" w:hanging="284"/>
    </w:pPr>
  </w:style>
  <w:style w:type="paragraph" w:customStyle="1" w:styleId="Bullet2">
    <w:name w:val="Bullet 2"/>
    <w:basedOn w:val="Normal"/>
    <w:uiPriority w:val="5"/>
    <w:unhideWhenUsed/>
    <w:rsid w:val="00AD5D44"/>
    <w:pPr>
      <w:numPr>
        <w:ilvl w:val="1"/>
        <w:numId w:val="2"/>
      </w:numPr>
      <w:spacing w:before="60" w:after="60" w:line="240" w:lineRule="auto"/>
    </w:pPr>
  </w:style>
  <w:style w:type="paragraph" w:customStyle="1" w:styleId="Bullet3">
    <w:name w:val="Bullet 3"/>
    <w:basedOn w:val="Normal"/>
    <w:uiPriority w:val="5"/>
    <w:unhideWhenUsed/>
    <w:rsid w:val="00AD5D44"/>
    <w:pPr>
      <w:numPr>
        <w:ilvl w:val="2"/>
        <w:numId w:val="2"/>
      </w:numPr>
    </w:pPr>
  </w:style>
  <w:style w:type="table" w:styleId="TableGrid">
    <w:name w:val="Table Grid"/>
    <w:basedOn w:val="TableNormal"/>
    <w:uiPriority w:val="39"/>
    <w:rsid w:val="00AD5D44"/>
    <w:pPr>
      <w:spacing w:before="120" w:after="0" w:line="240" w:lineRule="auto"/>
    </w:pPr>
    <w:rPr>
      <w:color w:val="000000" w:themeColor="text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efaultBullets">
    <w:name w:val="Default Bullets"/>
    <w:uiPriority w:val="99"/>
    <w:rsid w:val="00AD5D44"/>
    <w:pPr>
      <w:numPr>
        <w:numId w:val="1"/>
      </w:numPr>
    </w:pPr>
  </w:style>
  <w:style w:type="paragraph" w:customStyle="1" w:styleId="TableText">
    <w:name w:val="Table Text"/>
    <w:basedOn w:val="Normal"/>
    <w:qFormat/>
    <w:rsid w:val="00AD5D44"/>
    <w:pPr>
      <w:suppressAutoHyphens w:val="0"/>
      <w:spacing w:before="60" w:after="60" w:line="240" w:lineRule="auto"/>
    </w:pPr>
  </w:style>
  <w:style w:type="paragraph" w:customStyle="1" w:styleId="TableHeading">
    <w:name w:val="Table Heading"/>
    <w:basedOn w:val="TableText"/>
    <w:qFormat/>
    <w:rsid w:val="00AD5D44"/>
    <w:rPr>
      <w:b/>
      <w:color w:val="FFFFFF" w:themeColor="background1"/>
    </w:rPr>
  </w:style>
  <w:style w:type="paragraph" w:customStyle="1" w:styleId="TableBullet1">
    <w:name w:val="Table Bullet 1"/>
    <w:basedOn w:val="Bullet1"/>
    <w:qFormat/>
    <w:rsid w:val="00AD5D44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Couttie</dc:creator>
  <cp:lastModifiedBy>Anna Couttie</cp:lastModifiedBy>
  <cp:revision>6</cp:revision>
  <dcterms:created xsi:type="dcterms:W3CDTF">2019-07-11T01:12:00Z</dcterms:created>
  <dcterms:modified xsi:type="dcterms:W3CDTF">2019-07-19T06:14:00Z</dcterms:modified>
</cp:coreProperties>
</file>